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7F019" w14:textId="77777777" w:rsidR="00632A67" w:rsidRDefault="000D2719" w:rsidP="00D1283E">
      <w:pPr>
        <w:spacing w:after="0" w:line="240" w:lineRule="auto"/>
        <w:jc w:val="center"/>
        <w:rPr>
          <w:b/>
          <w:bCs/>
          <w:sz w:val="28"/>
          <w:szCs w:val="28"/>
        </w:rPr>
      </w:pPr>
      <w:r>
        <w:rPr>
          <w:noProof/>
        </w:rPr>
        <w:drawing>
          <wp:inline distT="0" distB="0" distL="0" distR="0" wp14:anchorId="49F8B2C6" wp14:editId="64EF3157">
            <wp:extent cx="1762125" cy="942975"/>
            <wp:effectExtent l="0" t="0" r="9525" b="9525"/>
            <wp:docPr id="1" name="Picture 1" descr="logo1"/>
            <wp:cNvGraphicFramePr/>
            <a:graphic xmlns:a="http://schemas.openxmlformats.org/drawingml/2006/main">
              <a:graphicData uri="http://schemas.openxmlformats.org/drawingml/2006/picture">
                <pic:pic xmlns:pic="http://schemas.openxmlformats.org/drawingml/2006/picture">
                  <pic:nvPicPr>
                    <pic:cNvPr id="1" name="Picture 1" descr="logo1"/>
                    <pic:cNvPicPr/>
                  </pic:nvPicPr>
                  <pic:blipFill>
                    <a:blip r:embed="rId7" cstate="print"/>
                    <a:srcRect/>
                    <a:stretch>
                      <a:fillRect/>
                    </a:stretch>
                  </pic:blipFill>
                  <pic:spPr bwMode="auto">
                    <a:xfrm>
                      <a:off x="0" y="0"/>
                      <a:ext cx="1762125" cy="942975"/>
                    </a:xfrm>
                    <a:prstGeom prst="rect">
                      <a:avLst/>
                    </a:prstGeom>
                    <a:noFill/>
                    <a:ln w="9525">
                      <a:noFill/>
                      <a:miter lim="800000"/>
                      <a:headEnd/>
                      <a:tailEnd/>
                    </a:ln>
                  </pic:spPr>
                </pic:pic>
              </a:graphicData>
            </a:graphic>
          </wp:inline>
        </w:drawing>
      </w:r>
    </w:p>
    <w:p w14:paraId="6A0DE1D1" w14:textId="77777777" w:rsidR="00D1283E" w:rsidRDefault="00D1283E" w:rsidP="00D1283E">
      <w:pPr>
        <w:spacing w:after="0" w:line="240" w:lineRule="auto"/>
        <w:jc w:val="center"/>
        <w:rPr>
          <w:b/>
          <w:bCs/>
          <w:sz w:val="28"/>
          <w:szCs w:val="28"/>
        </w:rPr>
      </w:pPr>
    </w:p>
    <w:p w14:paraId="1384FA6C" w14:textId="7DE234BB" w:rsidR="00DE1559" w:rsidRPr="00632A67" w:rsidRDefault="00DE1559" w:rsidP="00D1283E">
      <w:pPr>
        <w:spacing w:after="0" w:line="240" w:lineRule="auto"/>
        <w:jc w:val="center"/>
      </w:pPr>
      <w:r>
        <w:rPr>
          <w:b/>
          <w:bCs/>
          <w:sz w:val="28"/>
          <w:szCs w:val="28"/>
        </w:rPr>
        <w:t>STAFFING SERVICES</w:t>
      </w:r>
    </w:p>
    <w:p w14:paraId="7E549E17" w14:textId="7E68E706" w:rsidR="002F4ED8" w:rsidRDefault="002F4ED8" w:rsidP="00D1283E">
      <w:pPr>
        <w:pStyle w:val="ListParagraph"/>
        <w:spacing w:after="0" w:line="240" w:lineRule="auto"/>
        <w:ind w:left="0"/>
        <w:contextualSpacing w:val="0"/>
        <w:jc w:val="center"/>
        <w:rPr>
          <w:b/>
          <w:bCs/>
          <w:sz w:val="28"/>
          <w:szCs w:val="28"/>
        </w:rPr>
      </w:pPr>
      <w:r>
        <w:rPr>
          <w:b/>
          <w:bCs/>
          <w:sz w:val="28"/>
          <w:szCs w:val="28"/>
        </w:rPr>
        <w:t>State of Florida</w:t>
      </w:r>
      <w:r w:rsidR="00632A67">
        <w:rPr>
          <w:b/>
          <w:bCs/>
          <w:sz w:val="28"/>
          <w:szCs w:val="28"/>
        </w:rPr>
        <w:t>—</w:t>
      </w:r>
      <w:r>
        <w:rPr>
          <w:b/>
          <w:bCs/>
          <w:sz w:val="28"/>
          <w:szCs w:val="28"/>
        </w:rPr>
        <w:t>Home Health Agency Regulations</w:t>
      </w:r>
    </w:p>
    <w:p w14:paraId="4508276F" w14:textId="77777777" w:rsidR="000D2719" w:rsidRDefault="000D2719" w:rsidP="00D1283E">
      <w:pPr>
        <w:pStyle w:val="ListParagraph"/>
        <w:spacing w:after="0" w:line="240" w:lineRule="auto"/>
        <w:contextualSpacing w:val="0"/>
        <w:rPr>
          <w:b/>
          <w:bCs/>
          <w:sz w:val="28"/>
          <w:szCs w:val="28"/>
        </w:rPr>
      </w:pPr>
    </w:p>
    <w:p w14:paraId="4845DF87" w14:textId="7A84891D" w:rsidR="000D2719" w:rsidRPr="000D2719" w:rsidRDefault="000D2719" w:rsidP="00D1283E">
      <w:pPr>
        <w:pStyle w:val="ListParagraph"/>
        <w:spacing w:after="0" w:line="240" w:lineRule="auto"/>
        <w:ind w:hanging="720"/>
        <w:contextualSpacing w:val="0"/>
        <w:jc w:val="both"/>
        <w:rPr>
          <w:b/>
          <w:bCs/>
          <w:sz w:val="28"/>
          <w:szCs w:val="28"/>
        </w:rPr>
      </w:pPr>
      <w:r>
        <w:rPr>
          <w:b/>
          <w:bCs/>
          <w:sz w:val="28"/>
          <w:szCs w:val="28"/>
        </w:rPr>
        <w:t>Key Points</w:t>
      </w:r>
    </w:p>
    <w:p w14:paraId="2840FAE1" w14:textId="01F7C50A" w:rsidR="00DE1559" w:rsidRPr="000D2719" w:rsidRDefault="00DE1559" w:rsidP="00D1283E">
      <w:pPr>
        <w:pStyle w:val="ListParagraph"/>
        <w:numPr>
          <w:ilvl w:val="0"/>
          <w:numId w:val="2"/>
        </w:numPr>
        <w:spacing w:after="0" w:line="240" w:lineRule="auto"/>
        <w:contextualSpacing w:val="0"/>
        <w:rPr>
          <w:sz w:val="24"/>
          <w:szCs w:val="24"/>
        </w:rPr>
      </w:pPr>
      <w:r w:rsidRPr="000D2719">
        <w:rPr>
          <w:sz w:val="24"/>
          <w:szCs w:val="24"/>
        </w:rPr>
        <w:t xml:space="preserve">The interpretive guidelines for Tag H0124 in the Florida </w:t>
      </w:r>
      <w:r w:rsidR="00632A67">
        <w:rPr>
          <w:sz w:val="24"/>
          <w:szCs w:val="24"/>
        </w:rPr>
        <w:t xml:space="preserve">state licensing </w:t>
      </w:r>
      <w:r w:rsidRPr="000D2719">
        <w:rPr>
          <w:sz w:val="24"/>
          <w:szCs w:val="24"/>
        </w:rPr>
        <w:t>regulations permit home health agencies to provide staffing services.</w:t>
      </w:r>
    </w:p>
    <w:p w14:paraId="16019809" w14:textId="77777777" w:rsidR="00DE1559" w:rsidRPr="000D2719" w:rsidRDefault="00DE1559" w:rsidP="00D1283E">
      <w:pPr>
        <w:pStyle w:val="ListParagraph"/>
        <w:spacing w:after="0" w:line="240" w:lineRule="auto"/>
        <w:contextualSpacing w:val="0"/>
        <w:rPr>
          <w:sz w:val="24"/>
          <w:szCs w:val="24"/>
        </w:rPr>
      </w:pPr>
    </w:p>
    <w:p w14:paraId="61AEFEAA" w14:textId="6ED66E1C" w:rsidR="00DE1559" w:rsidRPr="000D2719" w:rsidRDefault="00DE1559" w:rsidP="00D1283E">
      <w:pPr>
        <w:pStyle w:val="ListParagraph"/>
        <w:numPr>
          <w:ilvl w:val="0"/>
          <w:numId w:val="2"/>
        </w:numPr>
        <w:spacing w:after="0" w:line="240" w:lineRule="auto"/>
        <w:contextualSpacing w:val="0"/>
        <w:rPr>
          <w:sz w:val="24"/>
          <w:szCs w:val="24"/>
        </w:rPr>
      </w:pPr>
      <w:r w:rsidRPr="000D2719">
        <w:rPr>
          <w:sz w:val="24"/>
          <w:szCs w:val="24"/>
        </w:rPr>
        <w:t xml:space="preserve">Staffing services </w:t>
      </w:r>
      <w:r w:rsidRPr="00E96091">
        <w:rPr>
          <w:b/>
          <w:bCs/>
          <w:sz w:val="24"/>
          <w:szCs w:val="24"/>
        </w:rPr>
        <w:t xml:space="preserve">may be provided outside of the counties </w:t>
      </w:r>
      <w:r w:rsidR="00632A67" w:rsidRPr="00E96091">
        <w:rPr>
          <w:b/>
          <w:bCs/>
          <w:sz w:val="24"/>
          <w:szCs w:val="24"/>
        </w:rPr>
        <w:t xml:space="preserve">and geographic service area listed </w:t>
      </w:r>
      <w:r w:rsidRPr="00E96091">
        <w:rPr>
          <w:b/>
          <w:bCs/>
          <w:sz w:val="24"/>
          <w:szCs w:val="24"/>
        </w:rPr>
        <w:t xml:space="preserve">on the </w:t>
      </w:r>
      <w:r w:rsidR="00632A67" w:rsidRPr="00E96091">
        <w:rPr>
          <w:b/>
          <w:bCs/>
          <w:sz w:val="24"/>
          <w:szCs w:val="24"/>
        </w:rPr>
        <w:t xml:space="preserve">state </w:t>
      </w:r>
      <w:r w:rsidRPr="00E96091">
        <w:rPr>
          <w:b/>
          <w:bCs/>
          <w:sz w:val="24"/>
          <w:szCs w:val="24"/>
        </w:rPr>
        <w:t>license.</w:t>
      </w:r>
    </w:p>
    <w:p w14:paraId="116CA357" w14:textId="77777777" w:rsidR="00DE1559" w:rsidRPr="000D2719" w:rsidRDefault="00DE1559" w:rsidP="00D1283E">
      <w:pPr>
        <w:pStyle w:val="ListParagraph"/>
        <w:spacing w:after="0" w:line="240" w:lineRule="auto"/>
        <w:contextualSpacing w:val="0"/>
        <w:rPr>
          <w:sz w:val="24"/>
          <w:szCs w:val="24"/>
        </w:rPr>
      </w:pPr>
    </w:p>
    <w:p w14:paraId="13077AD8" w14:textId="0B48A8FE" w:rsidR="00DE1559" w:rsidRPr="000D2719" w:rsidRDefault="00DE1559" w:rsidP="00D1283E">
      <w:pPr>
        <w:pStyle w:val="ListParagraph"/>
        <w:numPr>
          <w:ilvl w:val="0"/>
          <w:numId w:val="2"/>
        </w:numPr>
        <w:spacing w:after="0" w:line="240" w:lineRule="auto"/>
        <w:contextualSpacing w:val="0"/>
        <w:rPr>
          <w:sz w:val="24"/>
          <w:szCs w:val="24"/>
        </w:rPr>
      </w:pPr>
      <w:r w:rsidRPr="000D2719">
        <w:rPr>
          <w:sz w:val="24"/>
          <w:szCs w:val="24"/>
        </w:rPr>
        <w:t xml:space="preserve">Staffing </w:t>
      </w:r>
      <w:r w:rsidR="00632A67">
        <w:rPr>
          <w:sz w:val="24"/>
          <w:szCs w:val="24"/>
        </w:rPr>
        <w:t xml:space="preserve">does not mean </w:t>
      </w:r>
      <w:r w:rsidRPr="000D2719">
        <w:rPr>
          <w:sz w:val="24"/>
          <w:szCs w:val="24"/>
        </w:rPr>
        <w:t xml:space="preserve">providing services </w:t>
      </w:r>
      <w:r w:rsidR="00D1283E">
        <w:rPr>
          <w:sz w:val="24"/>
          <w:szCs w:val="24"/>
        </w:rPr>
        <w:t xml:space="preserve">directly </w:t>
      </w:r>
      <w:r w:rsidRPr="000D2719">
        <w:rPr>
          <w:sz w:val="24"/>
          <w:szCs w:val="24"/>
        </w:rPr>
        <w:t>to patients</w:t>
      </w:r>
      <w:r w:rsidR="00D1283E">
        <w:rPr>
          <w:sz w:val="24"/>
          <w:szCs w:val="24"/>
        </w:rPr>
        <w:t xml:space="preserve"> with agency employees</w:t>
      </w:r>
      <w:r w:rsidRPr="000D2719">
        <w:rPr>
          <w:sz w:val="24"/>
          <w:szCs w:val="24"/>
        </w:rPr>
        <w:t xml:space="preserve">. Rather, it reflects a contractual arrangement with another provider or business entity such as a nursing home, an assisted living facility, </w:t>
      </w:r>
      <w:r w:rsidR="00632A67">
        <w:rPr>
          <w:sz w:val="24"/>
          <w:szCs w:val="24"/>
        </w:rPr>
        <w:t>or other home healthcare provider.</w:t>
      </w:r>
    </w:p>
    <w:p w14:paraId="210071BC" w14:textId="77777777" w:rsidR="00DE1559" w:rsidRPr="000D2719" w:rsidRDefault="00DE1559" w:rsidP="00D1283E">
      <w:pPr>
        <w:pStyle w:val="ListParagraph"/>
        <w:spacing w:after="0" w:line="240" w:lineRule="auto"/>
        <w:contextualSpacing w:val="0"/>
        <w:rPr>
          <w:sz w:val="24"/>
          <w:szCs w:val="24"/>
        </w:rPr>
      </w:pPr>
    </w:p>
    <w:p w14:paraId="5AD06A22" w14:textId="1EC23C5B" w:rsidR="00D1283E" w:rsidRPr="00D1283E" w:rsidRDefault="00DE1559" w:rsidP="00D1283E">
      <w:pPr>
        <w:pStyle w:val="ListParagraph"/>
        <w:numPr>
          <w:ilvl w:val="0"/>
          <w:numId w:val="2"/>
        </w:numPr>
        <w:spacing w:after="0" w:line="240" w:lineRule="auto"/>
        <w:contextualSpacing w:val="0"/>
        <w:rPr>
          <w:sz w:val="24"/>
          <w:szCs w:val="24"/>
        </w:rPr>
      </w:pPr>
      <w:r w:rsidRPr="000D2719">
        <w:rPr>
          <w:sz w:val="24"/>
          <w:szCs w:val="24"/>
        </w:rPr>
        <w:t>Staffing services must be temporary in nature</w:t>
      </w:r>
      <w:r w:rsidR="00D1283E">
        <w:rPr>
          <w:sz w:val="24"/>
          <w:szCs w:val="24"/>
        </w:rPr>
        <w:t xml:space="preserve"> and address a staffing need of another healthcare provider. The home health agency’s staff can meet that need by entering into a staffing services agreement with the provider.</w:t>
      </w:r>
    </w:p>
    <w:p w14:paraId="03989515" w14:textId="77777777" w:rsidR="00DE1559" w:rsidRPr="000D2719" w:rsidRDefault="00DE1559" w:rsidP="00D1283E">
      <w:pPr>
        <w:pStyle w:val="ListParagraph"/>
        <w:spacing w:after="0" w:line="240" w:lineRule="auto"/>
        <w:contextualSpacing w:val="0"/>
        <w:rPr>
          <w:sz w:val="24"/>
          <w:szCs w:val="24"/>
        </w:rPr>
      </w:pPr>
    </w:p>
    <w:p w14:paraId="33F64732" w14:textId="19629E4D" w:rsidR="00DE1559" w:rsidRPr="000D2719" w:rsidRDefault="00DE1559" w:rsidP="00D1283E">
      <w:pPr>
        <w:pStyle w:val="ListParagraph"/>
        <w:numPr>
          <w:ilvl w:val="0"/>
          <w:numId w:val="2"/>
        </w:numPr>
        <w:spacing w:after="0" w:line="240" w:lineRule="auto"/>
        <w:contextualSpacing w:val="0"/>
        <w:rPr>
          <w:sz w:val="24"/>
          <w:szCs w:val="24"/>
        </w:rPr>
      </w:pPr>
      <w:r w:rsidRPr="000D2719">
        <w:rPr>
          <w:sz w:val="24"/>
          <w:szCs w:val="24"/>
        </w:rPr>
        <w:t xml:space="preserve">Personnel </w:t>
      </w:r>
      <w:r w:rsidR="00632A67">
        <w:rPr>
          <w:sz w:val="24"/>
          <w:szCs w:val="24"/>
        </w:rPr>
        <w:t xml:space="preserve">who are referred for staffing cases through a contractual relationship with another provider </w:t>
      </w:r>
      <w:r w:rsidRPr="000D2719">
        <w:rPr>
          <w:sz w:val="24"/>
          <w:szCs w:val="24"/>
        </w:rPr>
        <w:t>must be supervised by the other provider.</w:t>
      </w:r>
    </w:p>
    <w:p w14:paraId="6DE44E47" w14:textId="77777777" w:rsidR="00D1283E" w:rsidRDefault="00D1283E" w:rsidP="00D1283E">
      <w:pPr>
        <w:spacing w:after="0" w:line="240" w:lineRule="auto"/>
        <w:rPr>
          <w:b/>
          <w:bCs/>
          <w:sz w:val="28"/>
          <w:szCs w:val="28"/>
        </w:rPr>
      </w:pPr>
    </w:p>
    <w:p w14:paraId="31C8D3D9" w14:textId="66A548BC" w:rsidR="000D2719" w:rsidRDefault="00DE1559" w:rsidP="00D1283E">
      <w:pPr>
        <w:spacing w:after="0" w:line="240" w:lineRule="auto"/>
        <w:rPr>
          <w:i/>
          <w:iCs/>
          <w:sz w:val="28"/>
          <w:szCs w:val="28"/>
        </w:rPr>
      </w:pPr>
      <w:r w:rsidRPr="000D2719">
        <w:rPr>
          <w:b/>
          <w:bCs/>
          <w:sz w:val="28"/>
          <w:szCs w:val="28"/>
        </w:rPr>
        <w:t xml:space="preserve">ST - H0124 </w:t>
      </w:r>
      <w:r w:rsidR="000D2719">
        <w:rPr>
          <w:b/>
          <w:bCs/>
          <w:sz w:val="28"/>
          <w:szCs w:val="28"/>
        </w:rPr>
        <w:tab/>
      </w:r>
      <w:r w:rsidRPr="000D2719">
        <w:rPr>
          <w:b/>
          <w:bCs/>
          <w:sz w:val="28"/>
          <w:szCs w:val="28"/>
        </w:rPr>
        <w:t>Geographic Service Area</w:t>
      </w:r>
    </w:p>
    <w:p w14:paraId="7B291085" w14:textId="77777777" w:rsidR="00D1283E" w:rsidRDefault="00D1283E" w:rsidP="00D1283E">
      <w:pPr>
        <w:spacing w:after="0" w:line="240" w:lineRule="auto"/>
        <w:rPr>
          <w:b/>
          <w:bCs/>
          <w:i/>
          <w:iCs/>
          <w:sz w:val="24"/>
          <w:szCs w:val="24"/>
        </w:rPr>
      </w:pPr>
    </w:p>
    <w:p w14:paraId="5C27E005" w14:textId="6A9BEEE7" w:rsidR="00DE1559" w:rsidRPr="002F4ED8" w:rsidRDefault="000D2719" w:rsidP="00D1283E">
      <w:pPr>
        <w:spacing w:after="0" w:line="240" w:lineRule="auto"/>
        <w:rPr>
          <w:b/>
          <w:bCs/>
          <w:i/>
          <w:iCs/>
          <w:sz w:val="24"/>
          <w:szCs w:val="24"/>
        </w:rPr>
      </w:pPr>
      <w:r w:rsidRPr="002F4ED8">
        <w:rPr>
          <w:b/>
          <w:bCs/>
          <w:i/>
          <w:iCs/>
          <w:sz w:val="24"/>
          <w:szCs w:val="24"/>
        </w:rPr>
        <w:t>Interpretive</w:t>
      </w:r>
      <w:r w:rsidRPr="002F4ED8">
        <w:rPr>
          <w:b/>
          <w:bCs/>
          <w:sz w:val="24"/>
          <w:szCs w:val="24"/>
        </w:rPr>
        <w:t xml:space="preserve"> </w:t>
      </w:r>
      <w:r w:rsidRPr="002F4ED8">
        <w:rPr>
          <w:b/>
          <w:bCs/>
          <w:i/>
          <w:iCs/>
          <w:sz w:val="24"/>
          <w:szCs w:val="24"/>
        </w:rPr>
        <w:t>Guidelines</w:t>
      </w:r>
    </w:p>
    <w:p w14:paraId="6183BC4B" w14:textId="62F3DE67" w:rsidR="00DE1559" w:rsidRPr="000D2719" w:rsidRDefault="00DE1559" w:rsidP="00D1283E">
      <w:pPr>
        <w:spacing w:after="0" w:line="240" w:lineRule="auto"/>
        <w:rPr>
          <w:sz w:val="24"/>
          <w:szCs w:val="24"/>
        </w:rPr>
      </w:pPr>
      <w:r w:rsidRPr="000D2719">
        <w:rPr>
          <w:sz w:val="24"/>
          <w:szCs w:val="24"/>
        </w:rPr>
        <w:t xml:space="preserve">Staffing services can be provided outside of the counties on the license. Staffing is not providing direct services to patients. It is providing personnel to other facilities or business entities, such as nursing homes or school clinics, on a temporary basis. The personnel are supervised by the other facility or business entity. </w:t>
      </w:r>
    </w:p>
    <w:p w14:paraId="4DDD619C" w14:textId="77777777" w:rsidR="00D1283E" w:rsidRDefault="00D1283E" w:rsidP="00D1283E">
      <w:pPr>
        <w:spacing w:after="0" w:line="240" w:lineRule="auto"/>
        <w:rPr>
          <w:sz w:val="24"/>
          <w:szCs w:val="24"/>
        </w:rPr>
      </w:pPr>
    </w:p>
    <w:p w14:paraId="7D5D758B" w14:textId="716BC123" w:rsidR="00DE1559" w:rsidRPr="000D2719" w:rsidRDefault="00DE1559" w:rsidP="00D1283E">
      <w:pPr>
        <w:spacing w:after="0" w:line="240" w:lineRule="auto"/>
        <w:rPr>
          <w:sz w:val="24"/>
          <w:szCs w:val="24"/>
        </w:rPr>
      </w:pPr>
      <w:r w:rsidRPr="000D2719">
        <w:rPr>
          <w:sz w:val="24"/>
          <w:szCs w:val="24"/>
        </w:rPr>
        <w:t>Examples of staffing services</w:t>
      </w:r>
      <w:r w:rsidR="002F4ED8">
        <w:rPr>
          <w:sz w:val="24"/>
          <w:szCs w:val="24"/>
        </w:rPr>
        <w:t xml:space="preserve"> include:</w:t>
      </w:r>
    </w:p>
    <w:p w14:paraId="057341B3" w14:textId="424BA528" w:rsidR="00DE1559" w:rsidRPr="000D2719" w:rsidRDefault="00DE1559" w:rsidP="00D1283E">
      <w:pPr>
        <w:spacing w:after="0" w:line="240" w:lineRule="auto"/>
        <w:ind w:left="720"/>
        <w:rPr>
          <w:sz w:val="24"/>
          <w:szCs w:val="24"/>
        </w:rPr>
      </w:pPr>
      <w:r w:rsidRPr="000D2719">
        <w:rPr>
          <w:sz w:val="24"/>
          <w:szCs w:val="24"/>
        </w:rPr>
        <w:t>Example 1: A nursing home needs a temporary CNA because a CNA is out on sick leave. Your home health agency sends a CNA to work for the nursing home.</w:t>
      </w:r>
    </w:p>
    <w:p w14:paraId="4DBD86F2" w14:textId="77777777" w:rsidR="00D1283E" w:rsidRDefault="00D1283E" w:rsidP="00D1283E">
      <w:pPr>
        <w:spacing w:after="0" w:line="240" w:lineRule="auto"/>
        <w:ind w:left="720"/>
        <w:rPr>
          <w:sz w:val="24"/>
          <w:szCs w:val="24"/>
        </w:rPr>
      </w:pPr>
    </w:p>
    <w:p w14:paraId="31AC1F4F" w14:textId="637F7B93" w:rsidR="00DE1559" w:rsidRPr="000D2719" w:rsidRDefault="00DE1559" w:rsidP="00D1283E">
      <w:pPr>
        <w:spacing w:after="0" w:line="240" w:lineRule="auto"/>
        <w:ind w:left="720"/>
        <w:rPr>
          <w:sz w:val="24"/>
          <w:szCs w:val="24"/>
        </w:rPr>
      </w:pPr>
      <w:r w:rsidRPr="000D2719">
        <w:rPr>
          <w:sz w:val="24"/>
          <w:szCs w:val="24"/>
        </w:rPr>
        <w:t xml:space="preserve">Example 2: A home health agency lost </w:t>
      </w:r>
      <w:r w:rsidR="00D1283E">
        <w:rPr>
          <w:sz w:val="24"/>
          <w:szCs w:val="24"/>
        </w:rPr>
        <w:t>two</w:t>
      </w:r>
      <w:r w:rsidRPr="000D2719">
        <w:rPr>
          <w:sz w:val="24"/>
          <w:szCs w:val="24"/>
        </w:rPr>
        <w:t xml:space="preserve"> </w:t>
      </w:r>
      <w:r w:rsidR="00D1283E">
        <w:rPr>
          <w:sz w:val="24"/>
          <w:szCs w:val="24"/>
        </w:rPr>
        <w:t>home health</w:t>
      </w:r>
      <w:r w:rsidRPr="000D2719">
        <w:rPr>
          <w:sz w:val="24"/>
          <w:szCs w:val="24"/>
        </w:rPr>
        <w:t xml:space="preserve"> aides last week, one on maternity leave, the other to another job. The home health agency requests staffing services from another home health agency to get </w:t>
      </w:r>
      <w:r w:rsidR="00D1283E">
        <w:rPr>
          <w:sz w:val="24"/>
          <w:szCs w:val="24"/>
        </w:rPr>
        <w:t>two</w:t>
      </w:r>
      <w:r w:rsidRPr="000D2719">
        <w:rPr>
          <w:sz w:val="24"/>
          <w:szCs w:val="24"/>
        </w:rPr>
        <w:t xml:space="preserve"> </w:t>
      </w:r>
      <w:r w:rsidR="00D1283E">
        <w:rPr>
          <w:sz w:val="24"/>
          <w:szCs w:val="24"/>
        </w:rPr>
        <w:t>home health</w:t>
      </w:r>
      <w:r w:rsidRPr="000D2719">
        <w:rPr>
          <w:sz w:val="24"/>
          <w:szCs w:val="24"/>
        </w:rPr>
        <w:t xml:space="preserve"> aides to come work </w:t>
      </w:r>
      <w:r w:rsidRPr="000D2719">
        <w:rPr>
          <w:sz w:val="24"/>
          <w:szCs w:val="24"/>
        </w:rPr>
        <w:lastRenderedPageBreak/>
        <w:t xml:space="preserve">for its home health agency temporarily until it fills its </w:t>
      </w:r>
      <w:r w:rsidR="00D1283E" w:rsidRPr="000D2719">
        <w:rPr>
          <w:sz w:val="24"/>
          <w:szCs w:val="24"/>
        </w:rPr>
        <w:t>vacancy,</w:t>
      </w:r>
      <w:r w:rsidRPr="000D2719">
        <w:rPr>
          <w:sz w:val="24"/>
          <w:szCs w:val="24"/>
        </w:rPr>
        <w:t xml:space="preserve"> </w:t>
      </w:r>
      <w:r w:rsidR="00D1283E">
        <w:rPr>
          <w:sz w:val="24"/>
          <w:szCs w:val="24"/>
        </w:rPr>
        <w:t>and</w:t>
      </w:r>
      <w:r w:rsidRPr="000D2719">
        <w:rPr>
          <w:sz w:val="24"/>
          <w:szCs w:val="24"/>
        </w:rPr>
        <w:t xml:space="preserve"> the aide comes back from leave. The receiving home health agency then supervises the temporary aides </w:t>
      </w:r>
      <w:r w:rsidR="00D1283E">
        <w:rPr>
          <w:sz w:val="24"/>
          <w:szCs w:val="24"/>
        </w:rPr>
        <w:t xml:space="preserve">and </w:t>
      </w:r>
      <w:r w:rsidRPr="000D2719">
        <w:rPr>
          <w:sz w:val="24"/>
          <w:szCs w:val="24"/>
        </w:rPr>
        <w:t xml:space="preserve">assigns them to provide services. The temporary aides report to the receiving home health agency, providing the receiving home health agency with records of work provided following the receiving </w:t>
      </w:r>
      <w:r w:rsidR="00D1283E">
        <w:rPr>
          <w:sz w:val="24"/>
          <w:szCs w:val="24"/>
        </w:rPr>
        <w:t>home health agency</w:t>
      </w:r>
      <w:r w:rsidRPr="000D2719">
        <w:rPr>
          <w:sz w:val="24"/>
          <w:szCs w:val="24"/>
        </w:rPr>
        <w:t>'s procedures. These aides are temporary staff for that home health agency.</w:t>
      </w:r>
    </w:p>
    <w:p w14:paraId="37F426CD" w14:textId="77777777" w:rsidR="00D1283E" w:rsidRDefault="00D1283E" w:rsidP="00D1283E">
      <w:pPr>
        <w:spacing w:after="0" w:line="240" w:lineRule="auto"/>
        <w:rPr>
          <w:sz w:val="24"/>
          <w:szCs w:val="24"/>
        </w:rPr>
      </w:pPr>
    </w:p>
    <w:p w14:paraId="760E81FE" w14:textId="03294D50" w:rsidR="002F4ED8" w:rsidRPr="00D1283E" w:rsidRDefault="002F4ED8" w:rsidP="00D1283E">
      <w:pPr>
        <w:spacing w:after="0" w:line="240" w:lineRule="auto"/>
        <w:rPr>
          <w:b/>
          <w:bCs/>
          <w:sz w:val="24"/>
          <w:szCs w:val="24"/>
        </w:rPr>
      </w:pPr>
      <w:r w:rsidRPr="00D1283E">
        <w:rPr>
          <w:b/>
          <w:bCs/>
          <w:sz w:val="24"/>
          <w:szCs w:val="24"/>
        </w:rPr>
        <w:t xml:space="preserve">The interpretive guidelines for state inspectors </w:t>
      </w:r>
      <w:r w:rsidR="00D1283E" w:rsidRPr="00D1283E">
        <w:rPr>
          <w:b/>
          <w:bCs/>
          <w:sz w:val="24"/>
          <w:szCs w:val="24"/>
        </w:rPr>
        <w:t>instruct the inspector to review the following:</w:t>
      </w:r>
    </w:p>
    <w:p w14:paraId="005FA6FF" w14:textId="77777777" w:rsidR="00D1283E" w:rsidRDefault="00DE1559" w:rsidP="00D1283E">
      <w:pPr>
        <w:pStyle w:val="ListParagraph"/>
        <w:numPr>
          <w:ilvl w:val="0"/>
          <w:numId w:val="3"/>
        </w:numPr>
        <w:spacing w:after="0" w:line="240" w:lineRule="auto"/>
        <w:rPr>
          <w:sz w:val="24"/>
          <w:szCs w:val="24"/>
        </w:rPr>
      </w:pPr>
      <w:r w:rsidRPr="00D1283E">
        <w:rPr>
          <w:sz w:val="24"/>
          <w:szCs w:val="24"/>
        </w:rPr>
        <w:t xml:space="preserve">Request a listing of the personnel that are providing staffing services and the hospital, nursing home, school, home health agency or other entity where they are currently assigned. </w:t>
      </w:r>
    </w:p>
    <w:p w14:paraId="4E07A14D" w14:textId="77777777" w:rsidR="00D1283E" w:rsidRDefault="00DE1559" w:rsidP="00D1283E">
      <w:pPr>
        <w:pStyle w:val="ListParagraph"/>
        <w:numPr>
          <w:ilvl w:val="0"/>
          <w:numId w:val="3"/>
        </w:numPr>
        <w:spacing w:after="0" w:line="240" w:lineRule="auto"/>
        <w:rPr>
          <w:sz w:val="24"/>
          <w:szCs w:val="24"/>
        </w:rPr>
      </w:pPr>
      <w:r w:rsidRPr="00D1283E">
        <w:rPr>
          <w:sz w:val="24"/>
          <w:szCs w:val="24"/>
        </w:rPr>
        <w:t xml:space="preserve">Sample personnel records from the list to determine when each person was placed. </w:t>
      </w:r>
    </w:p>
    <w:p w14:paraId="5E9BE852" w14:textId="77777777" w:rsidR="00D1283E" w:rsidRDefault="00DE1559" w:rsidP="00D1283E">
      <w:pPr>
        <w:pStyle w:val="ListParagraph"/>
        <w:numPr>
          <w:ilvl w:val="0"/>
          <w:numId w:val="3"/>
        </w:numPr>
        <w:spacing w:after="0" w:line="240" w:lineRule="auto"/>
        <w:rPr>
          <w:sz w:val="24"/>
          <w:szCs w:val="24"/>
        </w:rPr>
      </w:pPr>
      <w:r w:rsidRPr="00D1283E">
        <w:rPr>
          <w:sz w:val="24"/>
          <w:szCs w:val="24"/>
        </w:rPr>
        <w:t xml:space="preserve">Ask to see the contract with the other facility or entity for these personnel. </w:t>
      </w:r>
    </w:p>
    <w:p w14:paraId="4FE75F62" w14:textId="77777777" w:rsidR="00D1283E" w:rsidRDefault="00DE1559" w:rsidP="00D1283E">
      <w:pPr>
        <w:pStyle w:val="ListParagraph"/>
        <w:numPr>
          <w:ilvl w:val="1"/>
          <w:numId w:val="3"/>
        </w:numPr>
        <w:spacing w:after="0" w:line="240" w:lineRule="auto"/>
        <w:rPr>
          <w:sz w:val="24"/>
          <w:szCs w:val="24"/>
        </w:rPr>
      </w:pPr>
      <w:r w:rsidRPr="00D1283E">
        <w:rPr>
          <w:sz w:val="24"/>
          <w:szCs w:val="24"/>
        </w:rPr>
        <w:t xml:space="preserve">Is the contract between the </w:t>
      </w:r>
      <w:r w:rsidR="00D1283E">
        <w:rPr>
          <w:sz w:val="24"/>
          <w:szCs w:val="24"/>
        </w:rPr>
        <w:t xml:space="preserve">two </w:t>
      </w:r>
      <w:r w:rsidRPr="00D1283E">
        <w:rPr>
          <w:sz w:val="24"/>
          <w:szCs w:val="24"/>
        </w:rPr>
        <w:t>parties and cover</w:t>
      </w:r>
      <w:r w:rsidR="00D1283E">
        <w:rPr>
          <w:sz w:val="24"/>
          <w:szCs w:val="24"/>
        </w:rPr>
        <w:t>s</w:t>
      </w:r>
      <w:r w:rsidRPr="00D1283E">
        <w:rPr>
          <w:sz w:val="24"/>
          <w:szCs w:val="24"/>
        </w:rPr>
        <w:t xml:space="preserve"> the temporary personnel that have been placed? </w:t>
      </w:r>
    </w:p>
    <w:p w14:paraId="7AE1E9F8" w14:textId="77777777" w:rsidR="00D1283E" w:rsidRDefault="00DE1559" w:rsidP="00D1283E">
      <w:pPr>
        <w:pStyle w:val="ListParagraph"/>
        <w:numPr>
          <w:ilvl w:val="1"/>
          <w:numId w:val="3"/>
        </w:numPr>
        <w:spacing w:after="0" w:line="240" w:lineRule="auto"/>
        <w:rPr>
          <w:sz w:val="24"/>
          <w:szCs w:val="24"/>
        </w:rPr>
      </w:pPr>
      <w:r w:rsidRPr="00D1283E">
        <w:rPr>
          <w:sz w:val="24"/>
          <w:szCs w:val="24"/>
        </w:rPr>
        <w:t xml:space="preserve">Are temporary personnel being placed as shown in the examples? </w:t>
      </w:r>
    </w:p>
    <w:p w14:paraId="29205262" w14:textId="7A43174D" w:rsidR="00F23FAC" w:rsidRPr="00D1283E" w:rsidRDefault="00DE1559" w:rsidP="00D1283E">
      <w:pPr>
        <w:pStyle w:val="ListParagraph"/>
        <w:numPr>
          <w:ilvl w:val="1"/>
          <w:numId w:val="3"/>
        </w:numPr>
        <w:spacing w:after="0" w:line="240" w:lineRule="auto"/>
        <w:rPr>
          <w:sz w:val="24"/>
          <w:szCs w:val="24"/>
        </w:rPr>
      </w:pPr>
      <w:r w:rsidRPr="00D1283E">
        <w:rPr>
          <w:sz w:val="24"/>
          <w:szCs w:val="24"/>
        </w:rPr>
        <w:t>O</w:t>
      </w:r>
      <w:r w:rsidR="000D2719" w:rsidRPr="00D1283E">
        <w:rPr>
          <w:sz w:val="24"/>
          <w:szCs w:val="24"/>
        </w:rPr>
        <w:t>r</w:t>
      </w:r>
      <w:r w:rsidRPr="00D1283E">
        <w:rPr>
          <w:sz w:val="24"/>
          <w:szCs w:val="24"/>
        </w:rPr>
        <w:t xml:space="preserve"> is this an on-going staffing arrangement? If an on-going staffing arrangement is found, see H 305.</w:t>
      </w:r>
    </w:p>
    <w:sectPr w:rsidR="00F23FAC" w:rsidRPr="00D1283E" w:rsidSect="00D1283E">
      <w:footerReference w:type="default" r:id="rId8"/>
      <w:pgSz w:w="12240" w:h="15840" w:code="1"/>
      <w:pgMar w:top="1440" w:right="1440" w:bottom="1440" w:left="1440" w:header="1440" w:footer="105" w:gutter="0"/>
      <w:pgBorders w:offsetFrom="page">
        <w:top w:val="double" w:sz="4" w:space="24" w:color="auto"/>
        <w:left w:val="double" w:sz="4" w:space="24" w:color="auto"/>
        <w:bottom w:val="double" w:sz="4" w:space="24" w:color="auto"/>
        <w:right w:val="doub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0BB6A" w14:textId="77777777" w:rsidR="009478A2" w:rsidRDefault="009478A2" w:rsidP="002F4ED8">
      <w:pPr>
        <w:spacing w:after="0" w:line="240" w:lineRule="auto"/>
      </w:pPr>
      <w:r>
        <w:separator/>
      </w:r>
    </w:p>
  </w:endnote>
  <w:endnote w:type="continuationSeparator" w:id="0">
    <w:p w14:paraId="5C9E06A1" w14:textId="77777777" w:rsidR="009478A2" w:rsidRDefault="009478A2" w:rsidP="002F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ACA04" w14:textId="77777777" w:rsidR="002F4ED8" w:rsidRDefault="002F4ED8" w:rsidP="002F4ED8">
    <w:pPr>
      <w:pStyle w:val="Footer"/>
      <w:jc w:val="center"/>
      <w:rPr>
        <w:sz w:val="18"/>
        <w:szCs w:val="18"/>
      </w:rPr>
    </w:pPr>
    <w:r>
      <w:rPr>
        <w:sz w:val="18"/>
        <w:szCs w:val="18"/>
      </w:rPr>
      <w:t xml:space="preserve">Copyright 2021 </w:t>
    </w:r>
    <w:r w:rsidRPr="007226FB">
      <w:rPr>
        <w:sz w:val="18"/>
        <w:szCs w:val="18"/>
      </w:rPr>
      <w:t xml:space="preserve">Alliance Consulting Services of Florida, Inc. </w:t>
    </w:r>
  </w:p>
  <w:p w14:paraId="6CC4CBA0" w14:textId="77777777" w:rsidR="002F4ED8" w:rsidRPr="007957FD" w:rsidRDefault="002F4ED8" w:rsidP="002F4ED8">
    <w:pPr>
      <w:pStyle w:val="Footer"/>
      <w:jc w:val="center"/>
      <w:rPr>
        <w:sz w:val="18"/>
        <w:szCs w:val="18"/>
      </w:rPr>
    </w:pPr>
    <w:r w:rsidRPr="007226FB">
      <w:rPr>
        <w:sz w:val="18"/>
        <w:szCs w:val="18"/>
      </w:rPr>
      <w:t>(772) 631-3707</w:t>
    </w:r>
  </w:p>
  <w:p w14:paraId="29C338DF" w14:textId="41699A87" w:rsidR="002F4ED8" w:rsidRDefault="002F4ED8">
    <w:pPr>
      <w:pStyle w:val="Footer"/>
      <w:tabs>
        <w:tab w:val="clear" w:pos="4680"/>
        <w:tab w:val="clear" w:pos="9360"/>
      </w:tabs>
      <w:jc w:val="center"/>
      <w:rPr>
        <w:caps/>
        <w:noProof/>
        <w:color w:val="4472C4" w:themeColor="accent1"/>
      </w:rPr>
    </w:pPr>
  </w:p>
  <w:p w14:paraId="3D9EF4DE" w14:textId="77777777" w:rsidR="002F4ED8" w:rsidRDefault="002F4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038D8" w14:textId="77777777" w:rsidR="009478A2" w:rsidRDefault="009478A2" w:rsidP="002F4ED8">
      <w:pPr>
        <w:spacing w:after="0" w:line="240" w:lineRule="auto"/>
      </w:pPr>
      <w:r>
        <w:separator/>
      </w:r>
    </w:p>
  </w:footnote>
  <w:footnote w:type="continuationSeparator" w:id="0">
    <w:p w14:paraId="1BCFFE95" w14:textId="77777777" w:rsidR="009478A2" w:rsidRDefault="009478A2" w:rsidP="002F4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C42D9"/>
    <w:multiLevelType w:val="hybridMultilevel"/>
    <w:tmpl w:val="9CD8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66107"/>
    <w:multiLevelType w:val="hybridMultilevel"/>
    <w:tmpl w:val="180AB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76A7108"/>
    <w:multiLevelType w:val="hybridMultilevel"/>
    <w:tmpl w:val="0846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559"/>
    <w:rsid w:val="000D2719"/>
    <w:rsid w:val="00223249"/>
    <w:rsid w:val="002A02BD"/>
    <w:rsid w:val="002F4ED8"/>
    <w:rsid w:val="00382268"/>
    <w:rsid w:val="0044729F"/>
    <w:rsid w:val="005D66BE"/>
    <w:rsid w:val="00632A67"/>
    <w:rsid w:val="00831275"/>
    <w:rsid w:val="008F1BD5"/>
    <w:rsid w:val="009478A2"/>
    <w:rsid w:val="00A17081"/>
    <w:rsid w:val="00CA2578"/>
    <w:rsid w:val="00D11323"/>
    <w:rsid w:val="00D1283E"/>
    <w:rsid w:val="00DE1559"/>
    <w:rsid w:val="00E96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D8D8A"/>
  <w15:chartTrackingRefBased/>
  <w15:docId w15:val="{CB6F8A96-C003-409D-ADD3-DA0582CF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559"/>
    <w:pPr>
      <w:ind w:left="720"/>
      <w:contextualSpacing/>
    </w:pPr>
  </w:style>
  <w:style w:type="paragraph" w:styleId="Header">
    <w:name w:val="header"/>
    <w:basedOn w:val="Normal"/>
    <w:link w:val="HeaderChar"/>
    <w:uiPriority w:val="99"/>
    <w:unhideWhenUsed/>
    <w:rsid w:val="002F4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D8"/>
  </w:style>
  <w:style w:type="paragraph" w:styleId="Footer">
    <w:name w:val="footer"/>
    <w:basedOn w:val="Normal"/>
    <w:link w:val="FooterChar"/>
    <w:uiPriority w:val="99"/>
    <w:unhideWhenUsed/>
    <w:rsid w:val="002F4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Farley</dc:creator>
  <cp:keywords/>
  <dc:description/>
  <cp:lastModifiedBy>Karen Schatten</cp:lastModifiedBy>
  <cp:revision>5</cp:revision>
  <dcterms:created xsi:type="dcterms:W3CDTF">2021-01-25T21:21:00Z</dcterms:created>
  <dcterms:modified xsi:type="dcterms:W3CDTF">2021-02-02T23:50:00Z</dcterms:modified>
</cp:coreProperties>
</file>